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063F4" w:rsidRPr="001F0D2C" w:rsidRDefault="001F0D2C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НОВОТРОИЦКОГО</w:t>
      </w:r>
      <w:r w:rsidR="00E063F4" w:rsidRPr="001F0D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E063F4" w:rsidRDefault="00A33A8E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E063F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A33A8E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E063F4">
        <w:rPr>
          <w:rFonts w:ascii="Times New Roman" w:hAnsi="Times New Roman" w:cs="Times New Roman"/>
          <w:sz w:val="28"/>
          <w:szCs w:val="28"/>
        </w:rPr>
        <w:t xml:space="preserve">.2022                                </w:t>
      </w:r>
      <w:r w:rsidR="00472522">
        <w:rPr>
          <w:rFonts w:ascii="Times New Roman" w:hAnsi="Times New Roman" w:cs="Times New Roman"/>
          <w:sz w:val="28"/>
          <w:szCs w:val="28"/>
        </w:rPr>
        <w:t xml:space="preserve">      </w:t>
      </w:r>
      <w:r w:rsidR="00E063F4">
        <w:rPr>
          <w:rFonts w:ascii="Times New Roman" w:hAnsi="Times New Roman" w:cs="Times New Roman"/>
          <w:sz w:val="28"/>
          <w:szCs w:val="28"/>
        </w:rPr>
        <w:t xml:space="preserve"> с.</w:t>
      </w:r>
      <w:r w:rsidR="001F0D2C">
        <w:rPr>
          <w:rFonts w:ascii="Times New Roman" w:hAnsi="Times New Roman" w:cs="Times New Roman"/>
          <w:sz w:val="28"/>
          <w:szCs w:val="28"/>
        </w:rPr>
        <w:t xml:space="preserve"> Новотроицк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№ 1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1F0D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F0D2C" w:rsidRPr="001F0D2C">
        <w:rPr>
          <w:rFonts w:ascii="Times New Roman" w:hAnsi="Times New Roman" w:cs="Times New Roman"/>
          <w:sz w:val="28"/>
          <w:szCs w:val="28"/>
        </w:rPr>
        <w:t>Новотроицкого</w:t>
      </w:r>
      <w:r w:rsidRPr="001F0D2C"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1F0D2C" w:rsidRPr="001F0D2C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proofErr w:type="gramEnd"/>
      <w:r w:rsidR="001F0D2C" w:rsidRPr="001F0D2C">
        <w:rPr>
          <w:rFonts w:ascii="Times New Roman" w:hAnsi="Times New Roman" w:cs="Times New Roman"/>
          <w:sz w:val="28"/>
          <w:szCs w:val="28"/>
        </w:rPr>
        <w:t xml:space="preserve"> от 20</w:t>
      </w:r>
      <w:r w:rsidRPr="001F0D2C">
        <w:rPr>
          <w:rFonts w:ascii="Times New Roman" w:hAnsi="Times New Roman" w:cs="Times New Roman"/>
          <w:sz w:val="28"/>
          <w:szCs w:val="28"/>
        </w:rPr>
        <w:t>.12.2021 № 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1F0D2C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="001F0D2C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1F0D2C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proofErr w:type="gramEnd"/>
      <w:r w:rsidR="001F0D2C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F3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1F0D2C" w:rsidRDefault="001F0D2C" w:rsidP="001F0D2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3D9A">
        <w:rPr>
          <w:rFonts w:ascii="Times New Roman" w:hAnsi="Times New Roman" w:cs="Times New Roman"/>
          <w:sz w:val="28"/>
          <w:szCs w:val="28"/>
        </w:rPr>
        <w:t>в подпункте 1  пункта 1 цифры «</w:t>
      </w:r>
      <w:r w:rsidR="0002186D">
        <w:rPr>
          <w:rFonts w:ascii="Times New Roman" w:hAnsi="Times New Roman" w:cs="Times New Roman"/>
          <w:sz w:val="28"/>
          <w:szCs w:val="28"/>
        </w:rPr>
        <w:t>81</w:t>
      </w:r>
      <w:r w:rsidR="00A33A8E">
        <w:rPr>
          <w:rFonts w:ascii="Times New Roman" w:hAnsi="Times New Roman" w:cs="Times New Roman"/>
          <w:sz w:val="28"/>
          <w:szCs w:val="28"/>
        </w:rPr>
        <w:t>65,4</w:t>
      </w:r>
      <w:r w:rsidRPr="006E3D9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3A8E">
        <w:rPr>
          <w:rFonts w:ascii="Times New Roman" w:hAnsi="Times New Roman" w:cs="Times New Roman"/>
          <w:sz w:val="28"/>
          <w:szCs w:val="28"/>
        </w:rPr>
        <w:t>8172,7</w:t>
      </w:r>
      <w:r w:rsidRPr="006E3D9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F0D2C" w:rsidRPr="006E3D9A" w:rsidRDefault="001F0D2C" w:rsidP="001F0D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3D9A">
        <w:rPr>
          <w:rFonts w:ascii="Times New Roman" w:hAnsi="Times New Roman" w:cs="Times New Roman"/>
          <w:sz w:val="28"/>
          <w:szCs w:val="28"/>
        </w:rPr>
        <w:t>в подпункте 2  пункта 1 цифры «</w:t>
      </w:r>
      <w:r w:rsidR="00A33A8E">
        <w:rPr>
          <w:rFonts w:ascii="Times New Roman" w:hAnsi="Times New Roman" w:cs="Times New Roman"/>
          <w:sz w:val="28"/>
          <w:szCs w:val="28"/>
        </w:rPr>
        <w:t>8705,2</w:t>
      </w:r>
      <w:r w:rsidRPr="006E3D9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33A8E">
        <w:rPr>
          <w:rFonts w:ascii="Times New Roman" w:hAnsi="Times New Roman" w:cs="Times New Roman"/>
          <w:sz w:val="28"/>
          <w:szCs w:val="28"/>
        </w:rPr>
        <w:t>8712,5</w:t>
      </w:r>
      <w:r w:rsidRPr="006E3D9A">
        <w:rPr>
          <w:rFonts w:ascii="Times New Roman" w:hAnsi="Times New Roman" w:cs="Times New Roman"/>
          <w:sz w:val="28"/>
          <w:szCs w:val="28"/>
        </w:rPr>
        <w:t>»;</w:t>
      </w:r>
    </w:p>
    <w:p w:rsidR="00E063F4" w:rsidRDefault="00F353A5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63F4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F70D6E" w:rsidRDefault="00A33A8E" w:rsidP="00F70D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D6E" w:rsidRPr="00F70D6E">
        <w:rPr>
          <w:rFonts w:ascii="Times New Roman" w:hAnsi="Times New Roman" w:cs="Times New Roman"/>
          <w:sz w:val="28"/>
          <w:szCs w:val="28"/>
        </w:rPr>
        <w:t>4.1. Приложение 2 «Доходы местного бюджета  на 2022 год и плановый  период 2023  и 2024 годов</w:t>
      </w:r>
      <w:r w:rsidR="00F70D6E">
        <w:rPr>
          <w:rFonts w:ascii="Times New Roman" w:hAnsi="Times New Roman" w:cs="Times New Roman"/>
          <w:sz w:val="28"/>
          <w:szCs w:val="28"/>
        </w:rPr>
        <w:t>»</w:t>
      </w:r>
    </w:p>
    <w:p w:rsidR="00E063F4" w:rsidRDefault="00F353A5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A8E">
        <w:rPr>
          <w:rFonts w:ascii="Times New Roman" w:hAnsi="Times New Roman" w:cs="Times New Roman"/>
          <w:sz w:val="28"/>
          <w:szCs w:val="28"/>
        </w:rPr>
        <w:t>.2</w:t>
      </w:r>
      <w:r w:rsidR="00E063F4">
        <w:rPr>
          <w:rFonts w:ascii="Times New Roman" w:hAnsi="Times New Roman" w:cs="Times New Roman"/>
          <w:sz w:val="28"/>
          <w:szCs w:val="28"/>
        </w:rPr>
        <w:t>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E063F4" w:rsidRDefault="00F353A5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A8E">
        <w:rPr>
          <w:rFonts w:ascii="Times New Roman" w:hAnsi="Times New Roman" w:cs="Times New Roman"/>
          <w:sz w:val="28"/>
          <w:szCs w:val="28"/>
        </w:rPr>
        <w:t>.3</w:t>
      </w:r>
      <w:r w:rsidR="00E063F4">
        <w:rPr>
          <w:rFonts w:ascii="Times New Roman" w:hAnsi="Times New Roman" w:cs="Times New Roman"/>
          <w:sz w:val="28"/>
          <w:szCs w:val="28"/>
        </w:rPr>
        <w:t>. Приложение  4 «Ведомственная структура расходов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E063F4" w:rsidRDefault="00F353A5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A8E">
        <w:rPr>
          <w:rFonts w:ascii="Times New Roman" w:hAnsi="Times New Roman" w:cs="Times New Roman"/>
          <w:sz w:val="28"/>
          <w:szCs w:val="28"/>
        </w:rPr>
        <w:t>.4</w:t>
      </w:r>
      <w:r w:rsidR="00E063F4">
        <w:rPr>
          <w:rFonts w:ascii="Times New Roman" w:hAnsi="Times New Roman" w:cs="Times New Roman"/>
          <w:sz w:val="28"/>
          <w:szCs w:val="28"/>
        </w:rPr>
        <w:t>. Приложение 7 «Источники внутреннего финансирования дефицита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E063F4" w:rsidRDefault="00E063F4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8" w:type="dxa"/>
        <w:tblLook w:val="04A0"/>
      </w:tblPr>
      <w:tblGrid>
        <w:gridCol w:w="5443"/>
        <w:gridCol w:w="4855"/>
      </w:tblGrid>
      <w:tr w:rsidR="00E063F4" w:rsidTr="0010742F">
        <w:trPr>
          <w:trHeight w:val="1935"/>
        </w:trPr>
        <w:tc>
          <w:tcPr>
            <w:tcW w:w="5443" w:type="dxa"/>
            <w:hideMark/>
          </w:tcPr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1F0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Новотроицкого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063F4" w:rsidRDefault="001F0D2C" w:rsidP="00F353A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Н.В.Кочерешко</w:t>
            </w:r>
            <w:proofErr w:type="spellEnd"/>
          </w:p>
        </w:tc>
        <w:tc>
          <w:tcPr>
            <w:tcW w:w="4855" w:type="dxa"/>
            <w:hideMark/>
          </w:tcPr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  <w:r w:rsidR="001F0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Новотроицкого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063F4" w:rsidRDefault="001F0D2C" w:rsidP="00F353A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Н.Н.Панова</w:t>
            </w:r>
          </w:p>
          <w:p w:rsidR="00F353A5" w:rsidRDefault="00F353A5" w:rsidP="00F353A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>
          <w:pgSz w:w="11906" w:h="16838"/>
          <w:pgMar w:top="568" w:right="1276" w:bottom="1134" w:left="851" w:header="709" w:footer="709" w:gutter="0"/>
          <w:cols w:space="720"/>
        </w:sectPr>
      </w:pPr>
    </w:p>
    <w:p w:rsidR="007050E4" w:rsidRPr="007050E4" w:rsidRDefault="007050E4" w:rsidP="00F70D6E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к решению  двадцатой </w:t>
      </w:r>
      <w:r w:rsidR="00F70D6E">
        <w:rPr>
          <w:rFonts w:ascii="Times New Roman" w:hAnsi="Times New Roman" w:cs="Times New Roman"/>
        </w:rPr>
        <w:t>девятой</w:t>
      </w:r>
      <w:r w:rsidRPr="007050E4">
        <w:rPr>
          <w:rFonts w:ascii="Times New Roman" w:hAnsi="Times New Roman" w:cs="Times New Roman"/>
        </w:rPr>
        <w:t xml:space="preserve">  сессии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Совета депутатов Новотроицкого сельсовета 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Северного района  Новосибирской области 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«О местном бюджете  Новотроицкого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сельсовета Северного района 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Новосибирской области на 2022 год и </w:t>
      </w:r>
    </w:p>
    <w:p w:rsidR="007050E4" w:rsidRPr="007050E4" w:rsidRDefault="007050E4" w:rsidP="007050E4">
      <w:pPr>
        <w:pStyle w:val="a8"/>
        <w:jc w:val="right"/>
        <w:rPr>
          <w:rFonts w:ascii="Times New Roman" w:hAnsi="Times New Roman" w:cs="Times New Roman"/>
        </w:rPr>
      </w:pPr>
      <w:r w:rsidRPr="007050E4">
        <w:rPr>
          <w:rFonts w:ascii="Times New Roman" w:hAnsi="Times New Roman" w:cs="Times New Roman"/>
        </w:rPr>
        <w:t xml:space="preserve">                                                                      плановый период 2023 и 2024 годов»</w:t>
      </w:r>
    </w:p>
    <w:p w:rsidR="007050E4" w:rsidRPr="007050E4" w:rsidRDefault="00A33A8E" w:rsidP="007050E4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29.07</w:t>
      </w:r>
      <w:r w:rsidR="007050E4" w:rsidRPr="007050E4">
        <w:rPr>
          <w:rFonts w:ascii="Times New Roman" w:hAnsi="Times New Roman" w:cs="Times New Roman"/>
        </w:rPr>
        <w:t>.2022 № 1</w:t>
      </w:r>
    </w:p>
    <w:p w:rsidR="007050E4" w:rsidRPr="007050E4" w:rsidRDefault="007050E4" w:rsidP="007050E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050E4">
        <w:rPr>
          <w:rFonts w:ascii="Times New Roman" w:hAnsi="Times New Roman" w:cs="Times New Roman"/>
          <w:sz w:val="24"/>
          <w:szCs w:val="24"/>
        </w:rPr>
        <w:t xml:space="preserve">Д О Х О Д </w:t>
      </w:r>
      <w:proofErr w:type="gramStart"/>
      <w:r w:rsidRPr="007050E4">
        <w:rPr>
          <w:rFonts w:ascii="Times New Roman" w:hAnsi="Times New Roman" w:cs="Times New Roman"/>
          <w:sz w:val="24"/>
          <w:szCs w:val="24"/>
        </w:rPr>
        <w:t>Ы</w:t>
      </w:r>
      <w:proofErr w:type="gramEnd"/>
    </w:p>
    <w:p w:rsidR="007050E4" w:rsidRPr="007050E4" w:rsidRDefault="007050E4" w:rsidP="007050E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050E4">
        <w:rPr>
          <w:rFonts w:ascii="Times New Roman" w:hAnsi="Times New Roman" w:cs="Times New Roman"/>
          <w:sz w:val="24"/>
          <w:szCs w:val="24"/>
        </w:rPr>
        <w:t>местного бюджета  на 2022 год и плановый  период 2023  и 2024 годов</w:t>
      </w:r>
    </w:p>
    <w:p w:rsidR="007050E4" w:rsidRPr="007050E4" w:rsidRDefault="007050E4" w:rsidP="007050E4">
      <w:pPr>
        <w:jc w:val="right"/>
        <w:rPr>
          <w:rFonts w:ascii="Times New Roman" w:hAnsi="Times New Roman" w:cs="Times New Roman"/>
          <w:b/>
        </w:rPr>
      </w:pPr>
      <w:proofErr w:type="spellStart"/>
      <w:r w:rsidRPr="007050E4">
        <w:rPr>
          <w:rFonts w:ascii="Times New Roman" w:hAnsi="Times New Roman" w:cs="Times New Roman"/>
          <w:b/>
        </w:rPr>
        <w:t>тыс</w:t>
      </w:r>
      <w:proofErr w:type="gramStart"/>
      <w:r w:rsidRPr="007050E4">
        <w:rPr>
          <w:rFonts w:ascii="Times New Roman" w:hAnsi="Times New Roman" w:cs="Times New Roman"/>
          <w:b/>
        </w:rPr>
        <w:t>.р</w:t>
      </w:r>
      <w:proofErr w:type="gramEnd"/>
      <w:r w:rsidRPr="007050E4">
        <w:rPr>
          <w:rFonts w:ascii="Times New Roman" w:hAnsi="Times New Roman" w:cs="Times New Roman"/>
          <w:b/>
        </w:rPr>
        <w:t>уб</w:t>
      </w:r>
      <w:proofErr w:type="spellEnd"/>
    </w:p>
    <w:tbl>
      <w:tblPr>
        <w:tblW w:w="9872" w:type="dxa"/>
        <w:tblLayout w:type="fixed"/>
        <w:tblLook w:val="04A0"/>
      </w:tblPr>
      <w:tblGrid>
        <w:gridCol w:w="3220"/>
        <w:gridCol w:w="3678"/>
        <w:gridCol w:w="992"/>
        <w:gridCol w:w="991"/>
        <w:gridCol w:w="991"/>
      </w:tblGrid>
      <w:tr w:rsidR="007050E4" w:rsidRPr="007050E4" w:rsidTr="00040032">
        <w:trPr>
          <w:trHeight w:val="43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7050E4" w:rsidRPr="007050E4" w:rsidTr="00040032">
        <w:trPr>
          <w:trHeight w:val="43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rPr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7050E4" w:rsidRPr="007050E4" w:rsidTr="00040032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521,4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544,3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571,1</w:t>
            </w:r>
          </w:p>
        </w:tc>
      </w:tr>
      <w:tr w:rsidR="007050E4" w:rsidRPr="007050E4" w:rsidTr="00040032">
        <w:trPr>
          <w:trHeight w:val="18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00010102010010000110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</w:tr>
      <w:tr w:rsidR="007050E4" w:rsidRPr="007050E4" w:rsidTr="00040032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00010302230010000110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152,6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159,9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</w:tr>
      <w:tr w:rsidR="007050E4" w:rsidRPr="007050E4" w:rsidTr="00040032">
        <w:trPr>
          <w:trHeight w:val="9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00010302240010000110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50E4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 w:rsidRPr="007050E4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050E4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</w:t>
            </w: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>3,9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050E4" w:rsidRPr="007050E4" w:rsidTr="00040032">
        <w:trPr>
          <w:trHeight w:val="11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225,9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236,6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249,5</w:t>
            </w:r>
          </w:p>
        </w:tc>
      </w:tr>
      <w:tr w:rsidR="007050E4" w:rsidRPr="007050E4" w:rsidTr="00040032">
        <w:trPr>
          <w:trHeight w:val="12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00010302260010000110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-26,6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-27,8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-29,4</w:t>
            </w:r>
          </w:p>
        </w:tc>
      </w:tr>
      <w:tr w:rsidR="007050E4" w:rsidRPr="007050E4" w:rsidTr="00040032">
        <w:trPr>
          <w:trHeight w:val="34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00010503010010000110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0E4" w:rsidRPr="007050E4" w:rsidTr="00040032">
        <w:trPr>
          <w:trHeight w:val="135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00010606033100000110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7050E4" w:rsidRPr="007050E4" w:rsidTr="00040032">
        <w:trPr>
          <w:trHeight w:val="45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00010601030100000110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7050E4" w:rsidRPr="007050E4" w:rsidTr="00040032">
        <w:trPr>
          <w:trHeight w:val="12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00010804020010000110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0E4" w:rsidRPr="007050E4" w:rsidTr="00040032">
        <w:trPr>
          <w:trHeight w:val="43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59,2</w:t>
            </w:r>
          </w:p>
        </w:tc>
      </w:tr>
      <w:tr w:rsidR="007050E4" w:rsidRPr="007050E4" w:rsidTr="00040032">
        <w:trPr>
          <w:trHeight w:val="124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00011301995100000130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</w:tr>
      <w:tr w:rsidR="007050E4" w:rsidRPr="007050E4" w:rsidTr="00040032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Налоговые и не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580,6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603,5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630,3</w:t>
            </w:r>
          </w:p>
        </w:tc>
      </w:tr>
      <w:tr w:rsidR="007050E4" w:rsidRPr="007050E4" w:rsidTr="00040032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00020200000000000000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7553,5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1480,3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</w:tr>
      <w:tr w:rsidR="007050E4" w:rsidRPr="007050E4" w:rsidTr="00040032">
        <w:trPr>
          <w:trHeight w:val="70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0002021600110 0000150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1766,5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1225,1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539,7</w:t>
            </w:r>
          </w:p>
        </w:tc>
      </w:tr>
      <w:tr w:rsidR="007050E4" w:rsidRPr="007050E4" w:rsidTr="0004003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00020249999100000150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5384,9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</w:tr>
      <w:tr w:rsidR="007050E4" w:rsidRPr="007050E4" w:rsidTr="00040032">
        <w:trPr>
          <w:trHeight w:val="15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00020240014100000150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F70D6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0E4" w:rsidRPr="007050E4" w:rsidTr="00040032">
        <w:trPr>
          <w:trHeight w:val="15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00020235118100000150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A33A8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117,6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7050E4" w:rsidRPr="007050E4" w:rsidTr="00040032">
        <w:trPr>
          <w:trHeight w:val="15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00020230024100000150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50E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050E4" w:rsidRPr="007050E4" w:rsidTr="00040032">
        <w:trPr>
          <w:trHeight w:val="5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00080000000000000000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F70D6E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A33A8E">
              <w:rPr>
                <w:rFonts w:ascii="Times New Roman" w:hAnsi="Times New Roman"/>
                <w:b/>
                <w:sz w:val="24"/>
                <w:szCs w:val="24"/>
              </w:rPr>
              <w:t>72,7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4" w:rsidRPr="007050E4" w:rsidRDefault="007050E4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50E4">
              <w:rPr>
                <w:rFonts w:ascii="Times New Roman" w:hAnsi="Times New Roman"/>
                <w:b/>
                <w:sz w:val="24"/>
                <w:szCs w:val="24"/>
              </w:rPr>
              <w:t>1429,3</w:t>
            </w:r>
          </w:p>
        </w:tc>
      </w:tr>
    </w:tbl>
    <w:p w:rsidR="00040032" w:rsidRDefault="00040032" w:rsidP="0004003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lang w:eastAsia="en-US"/>
        </w:rPr>
        <w:sectPr w:rsidR="00040032" w:rsidSect="000400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66" w:type="dxa"/>
        <w:tblInd w:w="-5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58"/>
        <w:gridCol w:w="918"/>
        <w:gridCol w:w="758"/>
        <w:gridCol w:w="1819"/>
        <w:gridCol w:w="1578"/>
        <w:gridCol w:w="997"/>
        <w:gridCol w:w="1045"/>
        <w:gridCol w:w="1239"/>
        <w:gridCol w:w="154"/>
      </w:tblGrid>
      <w:tr w:rsidR="008A0A13" w:rsidTr="00472522">
        <w:trPr>
          <w:trHeight w:val="4152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Приложение 3                                                                                              к решению  двадцать девятой сессии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Совета депутатов Новотроицкого сельсовета 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Северного района  Новосибирской области 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«О местном бюджете  Новотроицкого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сельсовета Северного района 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Новосибирской области на 2022 год и 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плановый период 2023 и 2024 годов»</w:t>
            </w:r>
          </w:p>
          <w:p w:rsidR="008A0A13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от 29.07</w:t>
            </w:r>
            <w:r w:rsidR="008A0A13">
              <w:rPr>
                <w:rFonts w:ascii="Calibri" w:eastAsiaTheme="minorHAnsi" w:hAnsi="Calibri" w:cs="Calibri"/>
                <w:color w:val="000000"/>
                <w:lang w:eastAsia="en-US"/>
              </w:rPr>
              <w:t>.2022 № 1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A0A13" w:rsidTr="00472522">
        <w:trPr>
          <w:trHeight w:val="1495"/>
        </w:trPr>
        <w:tc>
          <w:tcPr>
            <w:tcW w:w="157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2022 год и плановый период 2023 и 2024 годов       </w:t>
            </w:r>
          </w:p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040032" w:rsidRDefault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 w:rsidP="000400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A0A13" w:rsidTr="00472522">
        <w:trPr>
          <w:trHeight w:val="29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040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lastRenderedPageBreak/>
              <w:t>п</w:t>
            </w:r>
            <w:r w:rsidR="008A0A13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оказателя</w:t>
            </w:r>
          </w:p>
        </w:tc>
        <w:tc>
          <w:tcPr>
            <w:tcW w:w="9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4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1405,3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713,7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9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6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3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91"/>
        </w:trPr>
        <w:tc>
          <w:tcPr>
            <w:tcW w:w="7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324,4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6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91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45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8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3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5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2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19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6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6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19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5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4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5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7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Средства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4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7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91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  <w:r w:rsidR="00A33A8E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  <w:r w:rsidR="00A33A8E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</w:t>
            </w:r>
            <w:r w:rsidR="00A33A8E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2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47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50,3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94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характера</w:t>
            </w:r>
            <w:proofErr w:type="gramStart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ожарная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безопасность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147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9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6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правоохоанительной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65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9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602,5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602,5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3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95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значения,за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счет акциз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4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2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2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9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программы "О развитии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2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72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4302,4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5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3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030"/>
        </w:trPr>
        <w:tc>
          <w:tcPr>
            <w:tcW w:w="72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34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90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тепло-,водоснабжения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8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8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7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тепло-,водоснабжения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6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2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6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3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3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52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8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3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6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3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2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9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850,6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40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67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99 0 00 70510 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48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87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320,5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8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2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1219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06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53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9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91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0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10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65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34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463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8A0A13" w:rsidTr="00472522">
        <w:trPr>
          <w:trHeight w:val="305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  <w:r w:rsidR="00A33A8E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8A0A13" w:rsidRDefault="008A0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67"/>
        <w:gridCol w:w="919"/>
        <w:gridCol w:w="759"/>
        <w:gridCol w:w="693"/>
        <w:gridCol w:w="1580"/>
        <w:gridCol w:w="806"/>
        <w:gridCol w:w="886"/>
        <w:gridCol w:w="1032"/>
        <w:gridCol w:w="1032"/>
      </w:tblGrid>
      <w:tr w:rsidR="00474FCE" w:rsidTr="00474FCE">
        <w:trPr>
          <w:trHeight w:val="4152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Приложение 4                                                                                              к решению  двадцать шестой сессии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Совета депутатов Новотроицкого сельсовета 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Северного района  Новосибирской области 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«О местном бюджете  Новотроицкого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сельсовета Северного района 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Новосибирской области на 2022 год и 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плановый период 2023 и 2024 годов»</w:t>
            </w:r>
          </w:p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от 29.07.2022 № 1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474FCE" w:rsidTr="00474FCE">
        <w:trPr>
          <w:trHeight w:val="305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74FCE" w:rsidTr="00472522">
        <w:trPr>
          <w:trHeight w:val="1060"/>
        </w:trPr>
        <w:tc>
          <w:tcPr>
            <w:tcW w:w="13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2022 год и плановый период 2023 и 2024 годов </w:t>
            </w: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</w:tr>
      <w:tr w:rsidR="00474FCE">
        <w:trPr>
          <w:trHeight w:val="2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474FCE">
        <w:trPr>
          <w:trHeight w:val="180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474FCE">
        <w:trPr>
          <w:trHeight w:val="100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  <w:r w:rsidR="00A33A8E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1405,3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713,7</w:t>
            </w:r>
          </w:p>
        </w:tc>
      </w:tr>
      <w:tr w:rsidR="00474FCE">
        <w:trPr>
          <w:trHeight w:val="69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</w:tr>
      <w:tr w:rsidR="00474FCE">
        <w:trPr>
          <w:trHeight w:val="12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7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91"/>
        </w:trPr>
        <w:tc>
          <w:tcPr>
            <w:tcW w:w="7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324,4</w:t>
            </w:r>
          </w:p>
        </w:tc>
      </w:tr>
      <w:tr w:rsidR="00474FCE"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324,4</w:t>
            </w:r>
          </w:p>
        </w:tc>
      </w:tr>
      <w:tr w:rsidR="00474FCE">
        <w:trPr>
          <w:trHeight w:val="91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474FCE">
        <w:trPr>
          <w:trHeight w:val="145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474FCE">
        <w:trPr>
          <w:trHeight w:val="88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474FCE"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2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74FCE"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74FCE"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84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474FCE"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474FCE">
        <w:trPr>
          <w:trHeight w:val="8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Средства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474FCE"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74FCE"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74FCE">
        <w:trPr>
          <w:trHeight w:val="47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474FCE">
        <w:trPr>
          <w:trHeight w:val="91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</w:tr>
      <w:tr w:rsidR="00474FCE">
        <w:trPr>
          <w:trHeight w:val="7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A33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</w:tr>
      <w:tr w:rsidR="00474FCE"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94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характера,пожарная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безопасность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48,3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37,3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76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безопасности и </w:t>
            </w:r>
            <w:proofErr w:type="spellStart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правоохоанительной</w:t>
            </w:r>
            <w:proofErr w:type="spellEnd"/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65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9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474FCE"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474FCE"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474FCE"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474FCE">
        <w:trPr>
          <w:trHeight w:val="95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значения,за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счет акциз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474FCE">
        <w:trPr>
          <w:trHeight w:val="84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474FCE"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474FCE"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программы "О развитии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4302,4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030"/>
        </w:trPr>
        <w:tc>
          <w:tcPr>
            <w:tcW w:w="7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в границах поселений тепло-и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34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90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Организация бесперебойной работы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тепло-,водоснабжения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8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тепло-,водоснабжения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2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5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40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99 0 00 70510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8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2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0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9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474FCE"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474FCE"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  <w:r w:rsidR="00A33A8E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CE" w:rsidRDefault="00474F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</w:tr>
    </w:tbl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A13" w:rsidRDefault="008A0A13" w:rsidP="00705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032" w:rsidRDefault="00040032" w:rsidP="00705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040032" w:rsidSect="008A0A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063F4" w:rsidRPr="003F697C" w:rsidRDefault="00E063F4" w:rsidP="00705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697C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E063F4" w:rsidRPr="007050E4" w:rsidRDefault="00E063F4" w:rsidP="007050E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A7242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gramStart"/>
      <w:r w:rsidRPr="00A72429">
        <w:rPr>
          <w:rFonts w:ascii="Times New Roman" w:hAnsi="Times New Roman" w:cs="Times New Roman"/>
          <w:color w:val="000000"/>
          <w:sz w:val="24"/>
          <w:szCs w:val="24"/>
        </w:rPr>
        <w:t xml:space="preserve">Совета депутатов </w:t>
      </w:r>
      <w:r w:rsidR="001F0D2C">
        <w:rPr>
          <w:rFonts w:ascii="Times New Roman" w:hAnsi="Times New Roman" w:cs="Times New Roman"/>
          <w:color w:val="000000"/>
          <w:sz w:val="24"/>
          <w:szCs w:val="24"/>
        </w:rPr>
        <w:t>Новотроицкого</w:t>
      </w:r>
      <w:r w:rsidRPr="00A7242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</w:t>
      </w:r>
      <w:r w:rsidR="001F0D2C">
        <w:rPr>
          <w:rFonts w:ascii="Times New Roman" w:hAnsi="Times New Roman" w:cs="Times New Roman"/>
          <w:color w:val="000000"/>
          <w:sz w:val="24"/>
          <w:szCs w:val="24"/>
        </w:rPr>
        <w:t>йона Новосибирской области</w:t>
      </w:r>
      <w:proofErr w:type="gramEnd"/>
      <w:r w:rsidR="001F0D2C">
        <w:rPr>
          <w:rFonts w:ascii="Times New Roman" w:hAnsi="Times New Roman" w:cs="Times New Roman"/>
          <w:color w:val="000000"/>
          <w:sz w:val="24"/>
          <w:szCs w:val="24"/>
        </w:rPr>
        <w:t xml:space="preserve"> от 2</w:t>
      </w:r>
      <w:r w:rsidR="00A33A8E">
        <w:rPr>
          <w:rFonts w:ascii="Times New Roman" w:hAnsi="Times New Roman" w:cs="Times New Roman"/>
          <w:color w:val="000000"/>
          <w:sz w:val="24"/>
          <w:szCs w:val="24"/>
        </w:rPr>
        <w:t>9.07</w:t>
      </w:r>
      <w:r w:rsidRPr="00A72429">
        <w:rPr>
          <w:rFonts w:ascii="Times New Roman" w:hAnsi="Times New Roman" w:cs="Times New Roman"/>
          <w:color w:val="000000"/>
          <w:sz w:val="24"/>
          <w:szCs w:val="24"/>
        </w:rPr>
        <w:t xml:space="preserve">.2022 № 1 </w:t>
      </w:r>
      <w:r w:rsidRPr="00A72429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r w:rsidR="001F0D2C">
        <w:rPr>
          <w:rFonts w:ascii="Times New Roman" w:hAnsi="Times New Roman" w:cs="Times New Roman"/>
          <w:sz w:val="24"/>
          <w:szCs w:val="24"/>
        </w:rPr>
        <w:t>Новотроицкого</w:t>
      </w:r>
      <w:r w:rsidRPr="00A72429">
        <w:rPr>
          <w:rFonts w:ascii="Times New Roman" w:hAnsi="Times New Roman" w:cs="Times New Roman"/>
          <w:sz w:val="24"/>
          <w:szCs w:val="24"/>
        </w:rPr>
        <w:t xml:space="preserve"> сельсовета Северного ра</w:t>
      </w:r>
      <w:r w:rsidR="001F0D2C">
        <w:rPr>
          <w:rFonts w:ascii="Times New Roman" w:hAnsi="Times New Roman" w:cs="Times New Roman"/>
          <w:sz w:val="24"/>
          <w:szCs w:val="24"/>
        </w:rPr>
        <w:t>йона Новосибирской области от 20</w:t>
      </w:r>
      <w:r w:rsidR="007050E4">
        <w:rPr>
          <w:rFonts w:ascii="Times New Roman" w:hAnsi="Times New Roman" w:cs="Times New Roman"/>
          <w:sz w:val="24"/>
          <w:szCs w:val="24"/>
        </w:rPr>
        <w:t>.12.2021№ 1</w:t>
      </w:r>
      <w:r w:rsidR="00A33A8E">
        <w:rPr>
          <w:rFonts w:ascii="Times New Roman" w:hAnsi="Times New Roman" w:cs="Times New Roman"/>
          <w:sz w:val="24"/>
          <w:szCs w:val="24"/>
        </w:rPr>
        <w:t>»</w:t>
      </w:r>
    </w:p>
    <w:p w:rsidR="00E063F4" w:rsidRPr="003F697C" w:rsidRDefault="00E063F4" w:rsidP="00E063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E063F4" w:rsidRPr="003F697C" w:rsidRDefault="00E063F4" w:rsidP="00E06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E063F4" w:rsidRPr="003F697C" w:rsidRDefault="00E063F4" w:rsidP="00E06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внутреннего финансирования дефицита местного бюджета</w:t>
      </w:r>
    </w:p>
    <w:p w:rsidR="00E063F4" w:rsidRPr="003F697C" w:rsidRDefault="00E063F4" w:rsidP="00E06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97C">
        <w:rPr>
          <w:rFonts w:ascii="Times New Roman" w:hAnsi="Times New Roman" w:cs="Times New Roman"/>
          <w:b/>
          <w:bCs/>
          <w:sz w:val="28"/>
          <w:szCs w:val="28"/>
        </w:rPr>
        <w:t>на 2022 год и плановый период 2023 и 2024годов</w:t>
      </w:r>
    </w:p>
    <w:p w:rsidR="00E063F4" w:rsidRPr="003F697C" w:rsidRDefault="00E063F4" w:rsidP="00E063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F697C">
        <w:rPr>
          <w:rFonts w:ascii="Times New Roman" w:hAnsi="Times New Roman" w:cs="Times New Roman"/>
          <w:color w:val="000000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51"/>
        <w:gridCol w:w="4394"/>
        <w:gridCol w:w="1134"/>
        <w:gridCol w:w="993"/>
        <w:gridCol w:w="992"/>
      </w:tblGrid>
      <w:tr w:rsidR="00E063F4" w:rsidRPr="003F697C" w:rsidTr="007050E4">
        <w:trPr>
          <w:trHeight w:val="555"/>
        </w:trPr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внутреннего 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F4" w:rsidRPr="003F697C" w:rsidTr="007050E4">
        <w:trPr>
          <w:trHeight w:val="534"/>
        </w:trPr>
        <w:tc>
          <w:tcPr>
            <w:tcW w:w="2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3F4" w:rsidRPr="003F697C" w:rsidRDefault="00E063F4" w:rsidP="0070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3F4" w:rsidRPr="003F697C" w:rsidRDefault="00E063F4" w:rsidP="00705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063F4" w:rsidRPr="003F697C" w:rsidTr="007050E4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3F4" w:rsidRPr="003F697C" w:rsidTr="007050E4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1F0D2C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000 01 03 00 00 10 0000 710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000 01 03 00 00 10 0000 810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634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1F0D2C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653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000 01 00 0000 00 0000 000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1F0D2C" w:rsidRDefault="001F0D2C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D2C">
              <w:rPr>
                <w:rFonts w:ascii="Times New Roman" w:hAnsi="Times New Roman" w:cs="Times New Roman"/>
                <w:b/>
                <w:sz w:val="24"/>
                <w:szCs w:val="24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705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000 01 05 0000 00 0000 000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3F4" w:rsidRPr="003F697C" w:rsidRDefault="001F0D2C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63F4" w:rsidRPr="003F697C" w:rsidTr="007050E4">
        <w:trPr>
          <w:trHeight w:val="28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E43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4381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A03486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D711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711C1">
              <w:rPr>
                <w:rFonts w:ascii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D711C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711C1"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tr w:rsidR="00E063F4" w:rsidRPr="003F697C" w:rsidTr="007050E4">
        <w:trPr>
          <w:trHeight w:val="557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000 01 05 0201 10 0000 510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E4381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81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A03486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1C1">
              <w:rPr>
                <w:rFonts w:ascii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11C1"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tr w:rsidR="00E063F4" w:rsidRPr="003F697C" w:rsidTr="007050E4">
        <w:trPr>
          <w:trHeight w:val="278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4381A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A03486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D711C1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D711C1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tr w:rsidR="00E063F4" w:rsidRPr="003F697C" w:rsidTr="007050E4">
        <w:trPr>
          <w:trHeight w:val="566"/>
        </w:trPr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000 01 05 0201 10 0000 610</w:t>
            </w:r>
          </w:p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063F4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97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E4381A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A03486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D711C1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3F4" w:rsidRPr="003F697C" w:rsidRDefault="00D711C1" w:rsidP="00705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1429,3</w:t>
            </w:r>
          </w:p>
        </w:tc>
      </w:tr>
      <w:bookmarkEnd w:id="0"/>
    </w:tbl>
    <w:p w:rsidR="004D42FC" w:rsidRDefault="004D42FC"/>
    <w:sectPr w:rsidR="004D42FC" w:rsidSect="00040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E238B1"/>
    <w:multiLevelType w:val="hybridMultilevel"/>
    <w:tmpl w:val="8D34AC7A"/>
    <w:lvl w:ilvl="0" w:tplc="6BE0C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22E5F"/>
    <w:multiLevelType w:val="hybridMultilevel"/>
    <w:tmpl w:val="07128E94"/>
    <w:lvl w:ilvl="0" w:tplc="56381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63F4"/>
    <w:rsid w:val="00014144"/>
    <w:rsid w:val="00014DAF"/>
    <w:rsid w:val="0002186D"/>
    <w:rsid w:val="00040032"/>
    <w:rsid w:val="000618E4"/>
    <w:rsid w:val="000A0B5C"/>
    <w:rsid w:val="000C6449"/>
    <w:rsid w:val="000F64D8"/>
    <w:rsid w:val="0010742F"/>
    <w:rsid w:val="0011719C"/>
    <w:rsid w:val="0013006E"/>
    <w:rsid w:val="001413C6"/>
    <w:rsid w:val="0016154B"/>
    <w:rsid w:val="00180D7F"/>
    <w:rsid w:val="001930B9"/>
    <w:rsid w:val="001F0D2C"/>
    <w:rsid w:val="002237F7"/>
    <w:rsid w:val="00237B89"/>
    <w:rsid w:val="002B46CE"/>
    <w:rsid w:val="002C576C"/>
    <w:rsid w:val="003036CF"/>
    <w:rsid w:val="00315A7F"/>
    <w:rsid w:val="00381076"/>
    <w:rsid w:val="003E3B0A"/>
    <w:rsid w:val="00405227"/>
    <w:rsid w:val="00417C95"/>
    <w:rsid w:val="00460B89"/>
    <w:rsid w:val="00472522"/>
    <w:rsid w:val="00474FCE"/>
    <w:rsid w:val="004D42FC"/>
    <w:rsid w:val="00537B67"/>
    <w:rsid w:val="00571B0C"/>
    <w:rsid w:val="00597489"/>
    <w:rsid w:val="005D3117"/>
    <w:rsid w:val="005E48AF"/>
    <w:rsid w:val="006438A5"/>
    <w:rsid w:val="00652A89"/>
    <w:rsid w:val="006B6CBC"/>
    <w:rsid w:val="006E6D68"/>
    <w:rsid w:val="00703256"/>
    <w:rsid w:val="007050E4"/>
    <w:rsid w:val="00737D37"/>
    <w:rsid w:val="00742E28"/>
    <w:rsid w:val="007524FF"/>
    <w:rsid w:val="00756AC1"/>
    <w:rsid w:val="0076440D"/>
    <w:rsid w:val="007B2FA2"/>
    <w:rsid w:val="00820E13"/>
    <w:rsid w:val="008568F4"/>
    <w:rsid w:val="0086149F"/>
    <w:rsid w:val="008A0A13"/>
    <w:rsid w:val="008A7E13"/>
    <w:rsid w:val="008B401F"/>
    <w:rsid w:val="008C07E3"/>
    <w:rsid w:val="008D61A7"/>
    <w:rsid w:val="00941F43"/>
    <w:rsid w:val="00950837"/>
    <w:rsid w:val="00987C41"/>
    <w:rsid w:val="009D0846"/>
    <w:rsid w:val="00A03486"/>
    <w:rsid w:val="00A228B3"/>
    <w:rsid w:val="00A33A8E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CE67A6"/>
    <w:rsid w:val="00D42409"/>
    <w:rsid w:val="00D70A13"/>
    <w:rsid w:val="00D711C1"/>
    <w:rsid w:val="00D748E5"/>
    <w:rsid w:val="00D8551C"/>
    <w:rsid w:val="00DA32A0"/>
    <w:rsid w:val="00DD19EB"/>
    <w:rsid w:val="00E063F4"/>
    <w:rsid w:val="00E11D07"/>
    <w:rsid w:val="00E35966"/>
    <w:rsid w:val="00E4381A"/>
    <w:rsid w:val="00E71CE8"/>
    <w:rsid w:val="00EB5EB7"/>
    <w:rsid w:val="00ED4DA7"/>
    <w:rsid w:val="00F041F9"/>
    <w:rsid w:val="00F32CBE"/>
    <w:rsid w:val="00F353A5"/>
    <w:rsid w:val="00F70D6E"/>
    <w:rsid w:val="00FB208A"/>
    <w:rsid w:val="00FD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uiPriority w:val="1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6694</Words>
  <Characters>38157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24</cp:revision>
  <dcterms:created xsi:type="dcterms:W3CDTF">2022-01-28T04:17:00Z</dcterms:created>
  <dcterms:modified xsi:type="dcterms:W3CDTF">2022-07-29T03:55:00Z</dcterms:modified>
</cp:coreProperties>
</file>